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86R12001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2023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service of a notice of an application for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82.043(c), Family Code, is amended to read as follows:</w:t>
      </w:r>
    </w:p>
    <w:p w:rsidR="003F3435" w:rsidRDefault="0032493E">
      <w:pPr>
        <w:spacing w:line="480" w:lineRule="auto"/>
        <w:ind w:firstLine="720"/>
        <w:jc w:val="both"/>
      </w:pPr>
      <w:r>
        <w:t xml:space="preserve">(c)</w:t>
      </w:r>
      <w:r xml:space="preserve">
        <w:t> </w:t>
      </w:r>
      <w:r xml:space="preserve">
        <w:t> </w:t>
      </w:r>
      <w:r>
        <w:t xml:space="preserve">Notice of an application for a protective order must be served </w:t>
      </w:r>
      <w:r>
        <w:rPr>
          <w:u w:val="single"/>
        </w:rPr>
        <w:t xml:space="preserve">on the person</w:t>
      </w:r>
      <w:r>
        <w:t xml:space="preserve"> [</w:t>
      </w:r>
      <w:r>
        <w:rPr>
          <w:strike/>
        </w:rPr>
        <w:t xml:space="preserve">in the same manner as citation under the Texas Rules of Civil Procedure, except that service by publication is not authorized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82.043, Family Code, as amended by this Act, applies only to a notice of an application for a protective order served on or after the effective date of this Act.  An application for a protective order served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