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2030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developing the proposed plan on long-term care for persons with an intellectual disability participating in the home and community-based waiver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533A.062(b),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proposed plan must specify the capacity of the HCS waiver program for persons with an intellectual disability and the number and levels of new ICF-IID beds to be authorized in each region. </w:t>
      </w:r>
      <w:r>
        <w:t xml:space="preserve"> </w:t>
      </w:r>
      <w:r>
        <w:t xml:space="preserve">In developing the proposed plan, the department shall consider: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needs of the population </w:t>
      </w:r>
      <w:r>
        <w:rPr>
          <w:u w:val="single"/>
        </w:rPr>
        <w:t xml:space="preserve">and community</w:t>
      </w:r>
      <w:r>
        <w:t xml:space="preserve"> </w:t>
      </w:r>
      <w:r>
        <w:t xml:space="preserve">to be served;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projected appropriation amounts for the biennium;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requirements of applicable federal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