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86R14321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Fallon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2042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study by the Texas Education Agency of career and technology education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29, Education Code, is amended by adding Section 29.193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29.193.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STUDY AND REPORT ON CREDENTIALS AND CERTIFICATES.  (a) </w:t>
      </w:r>
      <w:r>
        <w:rPr>
          <w:u w:val="single"/>
        </w:rPr>
        <w:t xml:space="preserve"> </w:t>
      </w:r>
      <w:r>
        <w:rPr>
          <w:u w:val="single"/>
        </w:rPr>
        <w:t xml:space="preserve">The agency shall conduct a study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evaluate the industry-recognized credentials and certificates that are currently being offered to public high school students through career and technology education programs in each region of the state;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identify any unmet needs in career and technology education programs currently being offered to public high school students in each region of the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study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each region of the state: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evaluate: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industry-recognized credentials or certificates currently being offered to public high school students through career and technology education programs in the region; and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knowledge and skills necessary to meet workforce needs in the region;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identify: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gaps between the industry-recognized credentials or certificates identified under Paragraph (A)(i) and the knowledge and skills identified under Paragraph (A)(ii); and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knowledge or skills that could be incorporated into career and technology education programs in the region to increase students' marketability in that region after graduation from high school;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each currently offered industry-recognized credential or certificate, assess the economic impact of earning the credential or certificate in each region of the state, including: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average industry wage for a student who has earned the credential or certificate in each region;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demand to employ a student in each region for the credential or certificate.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September 1, 2021, the agency shall submit to the commissioner a report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identifies any currently offered industry-recognized credential or certificate that does not provide a sufficient positive economic impact in any region of the state based on the assessment conducted under Subsection (b)(2);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recommends the creation of industry-recognized credentials or certificates for each region of the state to be offered in a career and technology education program in that region that will address unmet workforce needs and enhance student competitiveness in the labor market.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expires September 1, 2022.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