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photograph on certain forms of state issued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1702.232(c),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registrant;</w:t>
      </w:r>
    </w:p>
    <w:p w:rsidR="003F3435" w:rsidRDefault="0032493E">
      <w:pPr>
        <w:spacing w:line="480" w:lineRule="auto"/>
        <w:ind w:firstLine="1440"/>
        <w:jc w:val="both"/>
      </w:pPr>
      <w:r>
        <w:t xml:space="preserve">(2)</w:t>
      </w:r>
      <w:r xml:space="preserve">
        <w:t> </w:t>
      </w:r>
      <w:r xml:space="preserve">
        <w:t> </w:t>
      </w:r>
      <w:r>
        <w:t xml:space="preserve">contain a [</w:t>
      </w:r>
      <w:r>
        <w:rPr>
          <w:strike/>
        </w:rPr>
        <w:t xml:space="preserve">color</w:t>
      </w:r>
      <w:r>
        <w:t xml:space="preserve">] photograph, affixed to the pocket card by the board at the time the card is issued, and the signature of the registrant;</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 and</w:t>
      </w:r>
    </w:p>
    <w:p w:rsidR="003F3435" w:rsidRDefault="0032493E">
      <w:pPr>
        <w:spacing w:line="480" w:lineRule="auto"/>
        <w:ind w:firstLine="1440"/>
        <w:jc w:val="both"/>
      </w:pPr>
      <w:r>
        <w:t xml:space="preserve">(4)</w:t>
      </w:r>
      <w:r xml:space="preserve">
        <w:t> </w:t>
      </w:r>
      <w:r xml:space="preserve">
        <w:t> </w:t>
      </w:r>
      <w:r>
        <w:t xml:space="preserve">state each endorsement held by the registrant and the date the endorsement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w:t>
      </w:r>
      <w:r>
        <w:rPr>
          <w:strike/>
        </w:rPr>
        <w:t xml:space="preserve">color</w:t>
      </w:r>
      <w:r>
        <w:t xml:space="preserve">]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pocket card or license issued or renewed on or after the effective date of this Act. </w:t>
      </w:r>
      <w:r>
        <w:t xml:space="preserve"> </w:t>
      </w:r>
      <w:r>
        <w:t xml:space="preserve">A pocket card or license issued or renewed before the effective date of this Act is governed by the law in effect when the pocket card or license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