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comprehensive development agreements for certain highway projects in Cameron and Hidalgo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223, Transportation Code, is amended by adding Section 223.2014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223.2014.</w:t>
      </w:r>
      <w:r>
        <w:rPr>
          <w:u w:val="single"/>
        </w:rPr>
        <w:t xml:space="preserve"> </w:t>
      </w:r>
      <w:r>
        <w:rPr>
          <w:u w:val="single"/>
        </w:rPr>
        <w:t xml:space="preserve"> </w:t>
      </w:r>
      <w:r>
        <w:rPr>
          <w:u w:val="single"/>
        </w:rPr>
        <w:t xml:space="preserve">ADDITIONAL DEPARTMENT AND REGIONAL MOBILITY AUTHORITY COMPREHENSIVE DEVELOPMENT AGREEMENTS IN CAMERON AND HIDALGO COUNTIES.  (a)</w:t>
      </w:r>
      <w:r>
        <w:rPr>
          <w:u w:val="single"/>
        </w:rPr>
        <w:t xml:space="preserve"> </w:t>
      </w:r>
      <w:r>
        <w:rPr>
          <w:u w:val="single"/>
        </w:rPr>
        <w:t xml:space="preserve"> </w:t>
      </w:r>
      <w:r>
        <w:rPr>
          <w:u w:val="single"/>
        </w:rPr>
        <w:t xml:space="preserve">The department or an authority under Section 370.003 may enter into a comprehensive development agreement relating to improvements to, or construction of, all or part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South Padre Island Second Access Causeway project from State Highway 100 to Park Road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Hidalgo County Loop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International Bridge Trade Corridor project in Hidalgo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Farm-to-Market 1925 project in Cameron and Hidalgo Counties;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 Highway 83 La Joya Relief Route project in Hidalgo County;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State Highway 68 project in Hidalgo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