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2060</w:t>
      </w:r>
    </w:p>
    <w:p w:rsidR="003F3435" w:rsidRDefault="0032493E">
      <w:pPr>
        <w:ind w:firstLine="720"/>
        <w:jc w:val="both"/>
      </w:pPr>
      <w:r>
        <w:t xml:space="preserve">(Guillen)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contents of a notice of appraised value sent to a property owner by the chief appraiser of an appraisal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25.19, Tax Code, is amended by adding Subsection (l) to read as follows: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In addition to the information required by Subsection (b), the chief appraiser shall include with a notice required by Subsection (a) a brief explanation of each total or partial exemption of property from taxation required or authorized by this title that is available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disabled veteran or the veteran's surviving spouse or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65 years of age or older or the individual's surviving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disabled or the individual's surviving spouse;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surviving spouse of a member of the armed services of the United States who is killed in action;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surviving spouse of a first responder who is killed or fatally injured in the line of duty.</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notice of appraised value for a tax year beginning on or after the effective date of this Act.  A notice of appraised value for a tax year beginning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