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a notice of appraised value sent to a property owner by the chief appraiser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25.19, Tax Code, is amended by adding Subsections (l) and (m)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addition to the information required by Subsection (b), the chief appraiser shall include with a notice required by Subsection (a) a brief explanation of each tax preference required or authorized by this title that is available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disabled veteran or the veteran's surviving spouse or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who is 65 years of age or older or the individual's surviving spouse;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individual who is disabled or the individual's surviving spouse;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surviving spouse of a member of the armed services of the United States who is killed in action;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surviving spouse of a first responder who is killed or fatally injured in the line of duty.</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purposes of Subsection (l), "tax preference"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total or partial exemption of property from taxation;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limitation on the amount of taxes that may be imposed on property by a taxing unit;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right to pay taxes imposed on property in installments;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right to perform service for a taxing unit in lieu of paying taxes imposed on property by the taxing unit;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right to defer collection of a tax, abate a suit to collect a delinquent tax, or abate a sale to foreclose a tax lien.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notice of appraised value for a tax year beginning on or after the effective date of this Act.  A notice of appraised value for a tax year beginning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