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86R12741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publication of pathogen-related data from river basins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26.0135, Water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Each river authority shall regularly provide to the commission data from the river authority's watershed and river basin water quality database that relates to pathogens and pathogen indicators in the river authority's river basin. The commission shall publish on the commission's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 received under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pathogens and pathogen indicators in river basins where a river authority is unable to perform an adequate assessment of its own watershed.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