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86R12032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methane gas reduction by The University of Texas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66, Education Code, is amended by adding Section 66.455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66.455.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METHANE REDUCTION PLANS.  Under each lease relating to oil or gas issued under this subchapter, the lessee shall implement a methane reduction plan reviewed and approved by the board of regents of The University of Texas System under procedures adopted by the board. </w:t>
      </w:r>
      <w:r>
        <w:rPr>
          <w:u w:val="single"/>
        </w:rPr>
        <w:t xml:space="preserve"> </w:t>
      </w:r>
      <w:r>
        <w:rPr>
          <w:u w:val="single"/>
        </w:rPr>
        <w:t xml:space="preserve">The University of Texas Bureau of Economic Geology shall assist the board and the lessee in matters relating to the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 In this section, "bureau" means The University of Texas Bureau of Economic Geology.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bureau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conduct a study on best practices in the reduction of methane emissions from oil and gas operations;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develop recommendations for legislation that would result in the implementation of best practices in the reduction of methane emissions from oil and gas operations.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study must investigate: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technical and economic potential to minimize methane emissions from oil and gas operations on land held by The University of Texas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standards in place in other states and across the industry to minimize methane emissions from oil and gas operations;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savings achievable through the adoption of standards identified in Subdivision (2);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policies designed to reduce methane gas emissions on land held by The University of Texas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Not later than December 1, 2020, the bureau shall submit to each standing committee of the legislature having primary jurisdiction over oil and gas development: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report of the findings of the study conducted under this section;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recommendations for legislation that would result in the implementation of best practices in the reduction of methane emissions from oil and gas operations.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This section expires January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