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86R9595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affirmative defenses for a Texas Commission on Environmental Quality enforcement action for unauthorized emission or opacity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382.0216(f) and (h); and</w:t>
      </w:r>
    </w:p>
    <w:p w:rsidR="003F3435" w:rsidRDefault="0032493E">
      <w:pPr>
        <w:spacing w:line="480" w:lineRule="auto"/>
        <w:ind w:firstLine="1440"/>
        <w:jc w:val="both"/>
      </w:pPr>
      <w:r>
        <w:t xml:space="preserve">(2)</w:t>
      </w:r>
      <w:r xml:space="preserve">
        <w:t> </w:t>
      </w:r>
      <w:r xml:space="preserve">
        <w:t> </w:t>
      </w:r>
      <w:r>
        <w:t xml:space="preserve">Sections 382.051962(c) and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enforcement action initiated by the Texas Commission on Environmental Quality on or after the effective date of this Act. An enforcement action initiated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