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86R6173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2075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compliance with dyslexia screening and testing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29.001(5), 29.010(a), </w:t>
      </w:r>
      <w:r>
        <w:rPr>
          <w:u w:val="single"/>
        </w:rPr>
        <w:t xml:space="preserve">38.003,</w:t>
      </w:r>
      <w:r>
        <w:t xml:space="preserve">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w:t>
      </w:r>
      <w:r>
        <w:rPr>
          <w:u w:val="single"/>
        </w:rPr>
        <w:t xml:space="preserve">or</w:t>
      </w:r>
      <w:r>
        <w:t xml:space="preserve"> Subchapter A, Chapter 37, [</w:t>
      </w:r>
      <w:r>
        <w:rPr>
          <w:strike/>
        </w:rPr>
        <w:t xml:space="preserve">or Section 38.003,</w:t>
      </w:r>
      <w:r>
        <w:t xml:space="preserve">]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38.003,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the</w:t>
      </w:r>
      <w:r>
        <w:t xml:space="preserve"> </w:t>
      </w:r>
      <w:r>
        <w:t xml:space="preserve">[</w:t>
      </w:r>
      <w:r>
        <w:rPr>
          <w:strike/>
        </w:rPr>
        <w:t xml:space="preserve">The</w:t>
      </w:r>
      <w:r>
        <w:t xml:space="preserve">] State Board of Education shall adopt any rules and standards necessary to administer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agency by rule shall develop procedures designed to allow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audit and monitor and periodically conduct site visits of all school districts to ensure that districts are complying with this section, including the program approved by the State Board of Education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problems school districts experience in complying with this section, including the program approved by the State Board of Education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reasonable and appropriate remedial strategies to address school district noncompliance and ensure the purposes of this section are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