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2083</w:t>
      </w:r>
    </w:p>
    <w:p w:rsidR="003F3435" w:rsidRDefault="0032493E">
      <w:pPr>
        <w:ind w:firstLine="720"/>
        <w:jc w:val="both"/>
      </w:pPr>
      <w:r>
        <w:t xml:space="preserve">(Darby)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taxes imposed on property for the year in which the property is acquired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26.11(a), Tax Code, is amended to read as follows:</w:t>
      </w:r>
    </w:p>
    <w:p w:rsidR="003F3435" w:rsidRDefault="0032493E">
      <w:pPr>
        <w:spacing w:line="480" w:lineRule="auto"/>
        <w:ind w:firstLine="720"/>
        <w:jc w:val="both"/>
      </w:pPr>
      <w:r>
        <w:t xml:space="preserve">(a)</w:t>
      </w:r>
      <w:r xml:space="preserve">
        <w:t> </w:t>
      </w:r>
      <w:r xml:space="preserve">
        <w:t> </w:t>
      </w:r>
      <w:r>
        <w:t xml:space="preserve">If the federal government, the state, or a political subdivision of the state acquires the right to possession of taxable property under a court order issued in condemnation proceedings</w:t>
      </w:r>
      <w:r>
        <w:rPr>
          <w:u w:val="single"/>
        </w:rPr>
        <w:t xml:space="preserve">, takes possession of taxable property under a possession and use agreement or under Section 21.021, Property Code,</w:t>
      </w:r>
      <w:r>
        <w:t xml:space="preserve"> or acquires title to taxable property, the amount of the tax due on the property is calculated by multiplying the amount of taxes imposed on the property for the entire year as determined as provided by Section 26.09 of this code by a fraction, the denominator of which is 365 and the numerator of which is the number of days that elapsed prior to the date of the conveyance</w:t>
      </w:r>
      <w:r>
        <w:rPr>
          <w:u w:val="single"/>
        </w:rPr>
        <w:t xml:space="preserve">, the effective date of the possession and use agreement, the date the entity took possession under Section 21.021, Property Code,</w:t>
      </w:r>
      <w:r>
        <w:t xml:space="preserve"> or the date of the order granting the right of possession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possession and use agreement entered into or an award made under Section 21.021, Property Code, on or after the effective date of this Act.  A possession and use agreement entered into or an award made under Section 21.021, Property Code, before the effective date of this Act is governed by the law applicable to the agreement or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