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86R8946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traumatic injury response protocol and the use of bleeding control kits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38, Education Code, is amended by adding Section 38.030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38.030.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TRAUMATIC INJURY RESPONSE PROTOCOL.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or open-enrollment charter school shall develop and annually make available a protocol for school employees and volunteers to follow in the event of a traumatic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protocol required under this section must provide for a school district or open-enrollment charter school to maintain and make available to school employees and volunteers a bleeding control kit for use in the event of a traumatic injury involving blood loss.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bleeding control kit required under this section must be a first aid response kit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tourniquet approved for use in battlefield trauma care by the armed forces of the United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compression bandages;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control bandages;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protective gloves;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markers;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scissors;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instructional documents developed by the American College of Surgeons or the United States Department of Homeland Security detailing methods to prevent blood loss following a traumatic event.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items listed under Subsection (c), a school district or open-enrollment charter school may also include in a bleeding control kit any medical material or equipment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readily stored in a bleeding control kit;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used to adequately treat an injury involving traumatic blood loss;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approved by local law enforcement or emergency medical services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and  the employees </w:t>
      </w:r>
      <w:r>
        <w:rPr>
          <w:u w:val="single"/>
        </w:rPr>
        <w:t xml:space="preserve"> </w:t>
      </w:r>
      <w:r>
        <w:rPr>
          <w:u w:val="single"/>
        </w:rPr>
        <w:t xml:space="preserve">or volunteers of the district or school are immune from civil liability from damages or injuries resulting from the good faith use of a bleeding control kit by an employee or volunteer of the district or school to control the bleeding of an injured person, provided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or volunteer followed the protocol developed under Subsection (a);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or volunteer did not act with gross negligence in the use of the bleeding control kit.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and not later than January 1, 2020, each school district and open-enrollment charter school shall develop and implement the traumatic injury response protocol required by Section 38.030,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