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86R11142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2090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Bible instruction in the required English language arts curriculum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Subsections (x) and (y) to read as follows: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In adopting the essential knowledge and skills for the English language arts curriculum under Subsection (a)(1)(A), the State Board of Education shall adopt essential knowledge and skills that include instruction on the content, characters, poetry, and narratives of the Bible that are prerequisites to understanding United States and Texas history and contemporary society and culture. </w:t>
      </w:r>
      <w:r>
        <w:rPr>
          <w:u w:val="single"/>
        </w:rPr>
        <w:t xml:space="preserve"> </w:t>
      </w:r>
      <w:r>
        <w:rPr>
          <w:u w:val="single"/>
        </w:rPr>
        <w:t xml:space="preserve">In adopting essential knowledge and skills under this subsection,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require a student to use a specific translation as the sole text of the Bible and must allow the student to use a different translation from that chosen by the board of trustees of the student's school district or the student's teacher;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applicable federal and state guidelines regarding maintaining religious neutrality and accommodating the diverse religious views, traditions, and perspectives of students in their school district are followed;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particular religion, nonreligious faith, or religious perspective is not endorsed, favored, promoted, disfavored, or shown hostility.</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Nothing in Subsection (x) is intended to violate any provision of the United States Constitution, federal law, the Texas Constitution, or any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