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reporters and shorthand reporting firms; imposing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POWERS AND DUTIES OF COURT REPORTERS AND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RATES AND CHARGES FOR SERVICES; BILLING.  A court reporter or shorthand reporting firm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the reporter's or firm's rates and charges for services provided in a legal proceeding to each party in the proceeding either directly or through the party's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each billing statement for services provided by the reporter or firm in a legal proceeding, fully itemize the rate and amount charged for each service provided.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152.202, Government Code, is amended by amending Subsection (a) and adding Subsections (a-1), (a-2), (c),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"court reporter," "court reporting," and "shorthand reporting firm" have the meanings assigned by Section 154.001.</w:t>
      </w:r>
    </w:p>
    <w:p w:rsidR="003F3435" w:rsidRDefault="0032493E">
      <w:pPr>
        <w:spacing w:line="480" w:lineRule="auto"/>
        <w:ind w:firstLine="720"/>
        <w:jc w:val="both"/>
      </w:pPr>
      <w:r>
        <w:rPr>
          <w:u w:val="single"/>
        </w:rPr>
        <w:t xml:space="preserve">(a-1)</w:t>
      </w:r>
      <w:r xml:space="preserve">
        <w:t> </w:t>
      </w:r>
      <w:r xml:space="preserve">
        <w:t> </w:t>
      </w:r>
      <w:r>
        <w:t xml:space="preserve">The commission may waive any prerequisite to obtaining a certification, registration, or license for an applicant after reviewing the applicant's credentials and determining that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registration, or licensing requirements for court reporters and shorthand reporting firms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registration,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registration, or licensing requirements to engage in court reporting that are substantially equivalent to the requirements of this state for a court reporter governed by Chapters 52 and 154;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(a-2);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Subsection (b) must require an applicant who holds a certification, registration,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registration,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152.204,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Section 152.101, the commission by rule shall require each court reporter who holds a certification issued by the commission to complete continuing professional education.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reporter</w:t>
      </w:r>
      <w:r>
        <w:t xml:space="preserve"> by the supreme court. </w:t>
      </w:r>
      <w:r>
        <w:t xml:space="preserve"> </w:t>
      </w:r>
      <w:r>
        <w:t xml:space="preserve">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154, Government Code, is amended by adding Section 154.1011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 </w:t>
      </w:r>
      <w:r>
        <w:rPr>
          <w:u w:val="single"/>
        </w:rPr>
        <w:t xml:space="preserve"> </w:t>
      </w:r>
      <w:r>
        <w:rPr>
          <w:u w:val="single"/>
        </w:rPr>
        <w:t xml:space="preserve">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152.202(f),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w:t xml:space="preserve">  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Each day of violation constitutes a separate offense.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154.115(b),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Not later than June 1, 2020, the Judicial Branch Certification Commission shall develop the list required by Section 152.202(a-2),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Supreme Court of Texas or the court's designee.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