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86R7195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2099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burglary of a commercial building in which trade or commerce is conducted.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30.02(c), Penal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in Subsection (c-1) or (d), an offense under this section is a:</w:t>
      </w:r>
    </w:p>
    <w:p w:rsidR="003F3435" w:rsidRDefault="0032493E">
      <w:pPr>
        <w:spacing w:line="480" w:lineRule="auto"/>
        <w:ind w:firstLine="1440"/>
        <w:jc w:val="both"/>
      </w:pPr>
      <w:r>
        <w:t xml:space="preserve">(1)</w:t>
      </w:r>
      <w:r xml:space="preserve">
        <w:t> </w:t>
      </w:r>
      <w:r xml:space="preserve">
        <w:t> </w:t>
      </w:r>
      <w:r>
        <w:t xml:space="preserve">state jail felony if committed in a building other than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commercial building in which trade or commerce is conducted; or</w:t>
      </w:r>
    </w:p>
    <w:p w:rsidR="003F3435" w:rsidRDefault="0032493E">
      <w:pPr>
        <w:spacing w:line="480" w:lineRule="auto"/>
        <w:ind w:firstLine="2160"/>
        <w:jc w:val="both"/>
      </w:pPr>
      <w:r>
        <w:rPr>
          <w:u w:val="single"/>
        </w:rPr>
        <w:t xml:space="preserve">(B)</w:t>
      </w:r>
      <w:r xml:space="preserve">
        <w:t> </w:t>
      </w:r>
      <w:r xml:space="preserve">
        <w:t> </w:t>
      </w:r>
      <w:r>
        <w:t xml:space="preserve">a habitation;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felony of the third degree if committed in a commercial building in which trade or commerce is conducted; or</w:t>
      </w:r>
    </w:p>
    <w:p w:rsidR="003F3435" w:rsidRDefault="0032493E">
      <w:pPr>
        <w:spacing w:line="480" w:lineRule="auto"/>
        <w:ind w:firstLine="1440"/>
        <w:jc w:val="both"/>
      </w:pPr>
      <w:r>
        <w:rPr>
          <w:u w:val="single"/>
        </w:rPr>
        <w:t xml:space="preserve">(3)</w:t>
      </w:r>
      <w:r xml:space="preserve">
        <w:t> </w:t>
      </w:r>
      <w:r xml:space="preserve">
        <w:t> </w:t>
      </w:r>
      <w:r>
        <w:t xml:space="preserve">felony of the second degree if committed in a habitation.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