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2101</w:t>
      </w:r>
    </w:p>
    <w:p w:rsidR="003F3435" w:rsidRDefault="0032493E">
      <w:pPr>
        <w:ind w:firstLine="720"/>
        <w:jc w:val="both"/>
      </w:pPr>
      <w:r>
        <w:t xml:space="preserve">(Wray)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surviving spouse of an individual who is disabled to receive a limitation on the school district ad valorem taxes on the spouse's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amending Subsection (i) and adding Subsection (i-1) to read as follows:</w:t>
      </w:r>
    </w:p>
    <w:p w:rsidR="003F3435" w:rsidRDefault="0032493E">
      <w:pPr>
        <w:spacing w:line="480" w:lineRule="auto"/>
        <w:ind w:firstLine="720"/>
        <w:jc w:val="both"/>
      </w:pPr>
      <w:r>
        <w:t xml:space="preserve">(i)</w:t>
      </w:r>
      <w:r xml:space="preserve">
        <w:t> </w:t>
      </w:r>
      <w:r xml:space="preserve">
        <w:t> </w:t>
      </w:r>
      <w:r>
        <w:t xml:space="preserve">If an individual who qualifies for the exemption provided by Section 11.13(c) for an individual 65 years of age or older dies, </w:t>
      </w:r>
      <w:r>
        <w:rPr>
          <w:u w:val="single"/>
        </w:rPr>
        <w:t xml:space="preserve">or if an individual who qualifies for the exemption provided by Section 11.13(c) for an individual who is disabled dies on or after January 1, 2013,</w:t>
      </w:r>
      <w:r>
        <w:t xml:space="preserve">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limitation under Subsection (i) applicable to the residence homestead of the surviving spouse of an individual who was disabled and who died on or after January 1, 2013, but before January 1, 2020, is calculated as if the surviving spouse was entitled to the limitation when the individual died.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 is approved by the voters. </w:t>
      </w:r>
      <w:r>
        <w:t xml:space="preserve"> </w:t>
      </w:r>
      <w:r>
        <w:t xml:space="preserve">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