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Campbell</w:t>
      </w:r>
      <w:r xml:space="preserve">
        <w:tab wTab="150" tlc="none" cTlc="0"/>
      </w:r>
      <w:r>
        <w:t xml:space="preserve">S.B.</w:t>
      </w:r>
      <w:r xml:space="preserve">
        <w:t> </w:t>
      </w:r>
      <w:r>
        <w:t xml:space="preserve">No.</w:t>
      </w:r>
      <w:r xml:space="preserve">
        <w:t> </w:t>
      </w:r>
      <w:r>
        <w:t xml:space="preserve">2104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Veterans County Service Officer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434, Government Code, is amended by adding Section 434.040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434.040.</w:t>
      </w:r>
      <w:r>
        <w:rPr>
          <w:u w:val="single"/>
        </w:rPr>
        <w:t xml:space="preserve"> </w:t>
      </w:r>
      <w:r>
        <w:rPr>
          <w:u w:val="single"/>
        </w:rPr>
        <w:t xml:space="preserve"> </w:t>
      </w:r>
      <w:r>
        <w:rPr>
          <w:u w:val="single"/>
        </w:rPr>
        <w:t xml:space="preserve">TEXAS VETERANS COUNTY SERVICE OFFICER TASK FORCE.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"Rural county"</w:t>
      </w:r>
      <w:r>
        <w:rPr>
          <w:u w:val="single"/>
        </w:rPr>
        <w:t xml:space="preserve"> </w:t>
      </w:r>
      <w:r>
        <w:rPr>
          <w:u w:val="single"/>
        </w:rPr>
        <w:t xml:space="preserve">means a county with a population of less than 200,000.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Texas Veterans County Service Officer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"Urban county"</w:t>
      </w:r>
      <w:r>
        <w:rPr>
          <w:u w:val="single"/>
        </w:rPr>
        <w:t xml:space="preserve"> </w:t>
      </w:r>
      <w:r>
        <w:rPr>
          <w:u w:val="single"/>
        </w:rPr>
        <w:t xml:space="preserve">means a county with a population of 200,000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County Service Officer Task Force is established to study the impact and efficacy of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House Committee on Defense and Veterans'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 of the Senate Committee on Veteran Affairs and Border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Veterans County Service Officer Advisory Committee;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Coalition of Veterans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officer representing a rural county selected by the chair of the House Committee on Defense and Veterans' Affairs;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officer representing an urban county selected by the chair of the House Committee on Defense and Veterans' Affairs;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officer representing a rural county selected by the chair of the Senate Committee on Veteran Affairs and Border Security; and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officer representing an urban county selected by the chair of the Senate Committee on Veteran Affairs and Border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chairs of the House Committee on Defense and Veterans' Affairs and Senate Committee on Veteran Affairs and Border Security serve as co-chairs of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recommendation of the task force must be approved by a majority vote of the members of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member of the task force has one vote.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role and duties of officers in each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regions of this state that are in need of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types and levels of support needed from this state in order for officers to appropriately advocate for the veterans served by the officers.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shall prepare and submit a report based on recommendations of the task force regarding the issues described in Subsection (g) to the Senate Committee on Veteran Affairs and Border Security and House Committee on Defense and Veterans' Affairs. </w:t>
      </w:r>
      <w:r>
        <w:rPr>
          <w:u w:val="single"/>
        </w:rPr>
        <w:t xml:space="preserve"> </w:t>
      </w:r>
      <w:r>
        <w:rPr>
          <w:u w:val="single"/>
        </w:rPr>
        <w:t xml:space="preserve">The report must be approved by a majority vote of the members of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