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86R13926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rendition of certain temporary orders in a suit affecting the parent-child relationship in anticipation of a parent's military deployment, military mobilization, or temporary military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153.702, Family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conservator may file for an order under this subchapter without having been ordered to military deployment, military mobilization, or temporary military duty if the conservator has reason to anticipate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conservator will be ordered to military deployment, military mobilization, or temporary military duty during the one-year period following the date on which the conservator files for the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will be insufficient time for an expedited hearing under Section 153.707 on the issuance of a temporary order after the conservator is notified of upcoming military deployment, military mobilization, or temporary military duty.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temporary order rendered based on a request filed under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expires on the first anniversary of the date of issuance unless the conservator is ordered to military deployment, military mobilization, or temporary military duty before that date;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on the date the conservator leaves for military deployment, military mobilization, or temporary military duty, provided that the military deployment, military mobilization, or temporary military duty is ordered before the temporary order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