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86R11639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2107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evaluating the performance of dropout recovery schools for purposes of the public school accountability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39.0548, Education Code, is amended by amending Subsections (a) and (d) and adding Subsections (a-1), (e), (f), (g), and (h) to read as follows:</w:t>
      </w:r>
    </w:p>
    <w:p w:rsidR="003F3435" w:rsidRDefault="0032493E">
      <w:pPr>
        <w:spacing w:line="480" w:lineRule="auto"/>
        <w:ind w:firstLine="720"/>
        <w:jc w:val="both"/>
      </w:pPr>
      <w:r>
        <w:t xml:space="preserve">(a)</w:t>
      </w:r>
      <w:r xml:space="preserve">
        <w:t> </w:t>
      </w:r>
      <w:r xml:space="preserve">
        <w:t> </w:t>
      </w:r>
      <w:r>
        <w:t xml:space="preserve">For purposes of evaluating performance under Section 39.053(c), the commissioner shall designate as a dropout recovery school a school district or an open-enrollment charter school or a campus of a district or of an open-enrollment charter school:</w:t>
      </w:r>
    </w:p>
    <w:p w:rsidR="003F3435" w:rsidRDefault="0032493E">
      <w:pPr>
        <w:spacing w:line="480" w:lineRule="auto"/>
        <w:ind w:firstLine="1440"/>
        <w:jc w:val="both"/>
      </w:pPr>
      <w:r>
        <w:t xml:space="preserve">(1)</w:t>
      </w:r>
      <w:r xml:space="preserve">
        <w:t> </w:t>
      </w:r>
      <w:r xml:space="preserve">
        <w:t> </w:t>
      </w:r>
      <w:r>
        <w:t xml:space="preserve">that serves students in grades 9 through 12 and has an enrollment of which at least 50 percent of the students are 17 years of age or older as of September 1 of the school year as reported for the fall semester Public Education Information Management System (PEIMS) submission; and</w:t>
      </w:r>
    </w:p>
    <w:p w:rsidR="003F3435" w:rsidRDefault="0032493E">
      <w:pPr>
        <w:spacing w:line="480" w:lineRule="auto"/>
        <w:ind w:firstLine="1440"/>
        <w:jc w:val="both"/>
      </w:pPr>
      <w:r>
        <w:t xml:space="preserve">(2)</w:t>
      </w:r>
      <w:r xml:space="preserve">
        <w:t> </w:t>
      </w:r>
      <w:r xml:space="preserve">
        <w:t> </w:t>
      </w:r>
      <w:r>
        <w:t xml:space="preserve">that [</w:t>
      </w:r>
      <w:r>
        <w:rPr>
          <w:strike/>
        </w:rPr>
        <w:t xml:space="preserve">meets the eligibility requirements for and</w:t>
      </w:r>
      <w:r>
        <w:t xml:space="preserve">] is registered under alternative education accountability procedures adopted by the commissioner.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assigning performance ratings under Section 39.054, the commissioner shall evaluate a dropout recovery school under alternative education accountability procedures adopted by the commissioner.</w:t>
      </w:r>
    </w:p>
    <w:p w:rsidR="003F3435" w:rsidRDefault="0032493E">
      <w:pPr>
        <w:spacing w:line="480" w:lineRule="auto"/>
        <w:ind w:firstLine="720"/>
        <w:jc w:val="both"/>
      </w:pPr>
      <w:r>
        <w:t xml:space="preserve">(d)</w:t>
      </w:r>
      <w:r xml:space="preserve">
        <w:t> </w:t>
      </w:r>
      <w:r xml:space="preserve">
        <w:t> </w:t>
      </w:r>
      <w:r>
        <w:rPr>
          <w:u w:val="single"/>
        </w:rPr>
        <w:t xml:space="preserve">For</w:t>
      </w:r>
      <w:r xml:space="preserve">
        <w:t> </w:t>
      </w:r>
      <w:r>
        <w:t xml:space="preserve">[</w:t>
      </w:r>
      <w:r>
        <w:rPr>
          <w:strike/>
        </w:rPr>
        <w:t xml:space="preserve">Notwithstanding Section 39.053(c), for</w:t>
      </w:r>
      <w:r>
        <w:t xml:space="preserve">] purposes of evaluating a dropout recovery school under the </w:t>
      </w:r>
      <w:r>
        <w:rPr>
          <w:u w:val="single"/>
        </w:rPr>
        <w:t xml:space="preserve">alternative education</w:t>
      </w:r>
      <w:r>
        <w:t xml:space="preserve"> accountability procedures adopted by the commissioner [</w:t>
      </w:r>
      <w:r>
        <w:rPr>
          <w:strike/>
        </w:rPr>
        <w:t xml:space="preserve">to determine the performance rating of the school under Section 39.054</w:t>
      </w:r>
      <w:r>
        <w:t xml:space="preserve">], only the best result from the primary administration or any retake of an assessment instrument administered to a student in the school year evaluated may be considered </w:t>
      </w:r>
      <w:r>
        <w:rPr>
          <w:u w:val="single"/>
        </w:rPr>
        <w:t xml:space="preserve">in assigning performance ratings for the school under Section 39.054</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evaluating performance of a dropout recovery school under the student achievement domain under Section 39.053(c)(1), the commissioner may consider for purposes of assigning a domain performance rating under Section 39.054 student performance based only on the "approaches grade level" performance standard.  Any evaluation of student performance based on a higher performance standard may not be considered to negatively affect the domain performance rating or a performance target score of the school.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evaluating performance of a dropout recovery school under the school progress domain under Section 39.053(c)(2), the commissioner may award credit for academic growth for purposes of assigning a domain performance rating under Section 39.054 based only on a student reaching the "approaches grade level" performance standard.  Any evaluation of student performance based on reaching a higher academic growth performance standard may not be considered to negatively affect the amount of credit awarded to the school or the domain performance rating or a performance target score of the school.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purposes of assigning an overall performance rating for a dropout recovery school under Section 39.054, the commissioner shall consider only the school's domain performance ratings under the student achievement domain under Section 39.053(c)(1) and the school progress domain under Section 39.053(c)(2).</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performance of a dropout recovery school under the closing the gaps domain under Section 39.053(c)(3) may be used for reporting purposes only.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