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86R10193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training and responsibilities of certain educational entities that have certain responsibilities regarding public school oversight.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primary responsibility of the trustees is to facilitate the education of the district's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11.159, Education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Education shall ensure that any orientation or training for a trustee related to the state laws governing public education emphasizes the responsibilities of a trustee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agency shall provide the board with access to data obtained under the Public Education Information Management System (PEIMS). </w:t>
      </w:r>
      <w:r>
        <w:rPr>
          <w:u w:val="single"/>
        </w:rPr>
        <w:t xml:space="preserve">The board shall use the data to revise educator preparation program requirements recommended by the board as needed to ensure the quality of educators certified in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21.046, Education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creating the qualifications for certification as a superintendent or principal, the board shall consider demonstrated knowledge of, as applicable: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responsibilities of a superintendent under Sections 11.1512 and 11.201;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responsibilities of a principal under Section 11.202.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39A.052,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39A.052.</w:t>
      </w:r>
      <w:r xml:space="preserve">
        <w:t> </w:t>
      </w:r>
      <w:r xml:space="preserve">
        <w:t> </w:t>
      </w:r>
      <w:r>
        <w:t xml:space="preserve">CAMPUS INTERVENTION TEAM MEMBERS</w:t>
      </w:r>
      <w:r>
        <w:rPr>
          <w:u w:val="single"/>
        </w:rPr>
        <w:t xml:space="preserve">; TRAINING</w:t>
      </w:r>
      <w:r>
        <w:t xml:space="preserve">. </w:t>
      </w:r>
      <w:r>
        <w:rPr>
          <w:u w:val="single"/>
        </w:rPr>
        <w:t xml:space="preserve">(a)</w:t>
      </w:r>
      <w:r>
        <w:t xml:space="preserve"> A campus intervention team assigned by the commissioner under Section 39A.051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may</w:t>
      </w:r>
      <w:r>
        <w:t xml:space="preserve">] include teachers, principals, other educational professionals, and superintendents </w:t>
      </w:r>
      <w:r>
        <w:rPr>
          <w:u w:val="single"/>
        </w:rPr>
        <w:t xml:space="preserve">that, to the greatest extent possible, are</w:t>
      </w:r>
      <w:r>
        <w:t xml:space="preserve"> recognized for excellence in their roles and appointed by the commissioner to serve as members of a team.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require members of the campus intervention team to attend training on the team's responsibilities and the interventions and sanctions that may be imposed on a district or campus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