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86R13890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2109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state plan for career and technology education.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29.182(b),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state plan must include procedures designed to ensure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all secondary and postsecondary students have the opportunity to participate in career and technology education programs;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state complies with requirements for supplemental federal career and technology education funding;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career and technology education is established as a part of the total education system of this state and constitutes an option for student learning that provides a rigorous course of study consistent with the required curriculum under Section 28.002 and under which a student may receive specific education in a career and technology program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incorporates competencies leading to academic and technical skill attainment;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leads to: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industry-recognized license, credential, or certificate;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at the postsecondary level, an associate or baccalaureate degree;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includes opportunities for students to earn college credit for coursework;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includes, as an integral part of the program, participation by students and teachers in activities of career and technical student organizations supported by the agency and the State Board of Education;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school district provides, to the greatest extent possible, to a student participating in a career and technology education program opportunities to enroll in dual credit courses designed to lead to a degree, license, or certification as part of the program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school districts and postsecondary institutions have access to labor market information generated by state agencies and guidance on the use of that information in designing career and technology education courses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2109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