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2114</w:t>
      </w:r>
    </w:p>
    <w:p w:rsidR="003F3435" w:rsidRDefault="0032493E">
      <w:pPr>
        <w:ind w:firstLine="720"/>
        <w:jc w:val="both"/>
      </w:pPr>
      <w:r>
        <w:t xml:space="preserve">(Collier)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duties of law enforcement agencies concerning certain information subject to disclosure to a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DUTIES OF LAW ENFORCEMENT AGENCY FILING CASE. </w:t>
      </w:r>
      <w:r>
        <w:rPr>
          <w:u w:val="single"/>
        </w:rPr>
        <w:t xml:space="preserve"> </w:t>
      </w:r>
      <w:r>
        <w:rPr>
          <w:u w:val="single"/>
        </w:rPr>
        <w:t xml:space="preserve">(a)</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 means an attorney authorized by law to represent the state in a criminal case, including a district attorney, criminal district attorney, county attorney with criminal jurisdiction, or city or municipal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filing a case with the attorney representing the state shall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39.14 have been transmitted to the attorney representing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any time after the case is filed with the attorney representing the state the law enforcement agency discovers or acquires any additional document, item, or information required to be disclosed to the defendant under Article 39.14, an agency employee shall promptly transmit the document, item, or information to the attorney representing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