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86R12880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peace officers and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(a)  A law enforcement agency filing a case with the attorney representing the state shall submit to the attorney representing the state a written statement by a peace officer employed by the agency acknowledging that all documents, items, and information in the possession of the agency that are required to be disclosed to the defendant in the case under Article 39.14(h) have been transmitted to the attorney representing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39.14(h) or (k), a peace officer employed by the agency shall promptly transmit the document, item, or information to the attorney representing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shall promptly disclose to each attorney representing the state with whom the agency files cases the identity of each peace officer or other employee of the agency for whom a finding of misconduct has been sustained if that finding would be required to be disclosed to a defendant under Article 39.14.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the commission shall revoke or suspend a license, place on probation a person whose license has been suspended, or reprimand a license holder for a violation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reporting requirements provided by Articles 2.132 and 2.134,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duty imposed by Article 2.1397, Code of Criminal Procedure;</w:t>
      </w:r>
      <w:r>
        <w:t xml:space="preserve"> 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commission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