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86R26787 CAE-D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2117</w:t>
      </w:r>
    </w:p>
    <w:p w:rsidR="003F3435" w:rsidRDefault="0032493E">
      <w:pPr>
        <w:ind w:firstLine="720"/>
        <w:jc w:val="both"/>
      </w:pPr>
      <w:r>
        <w:t xml:space="preserve">(Bohac)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2117: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Sanford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2117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approval of school district and charter school partnerships to operate school district campuses and programs and to eligibility for state funding.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11.157,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11.157.</w:t>
      </w:r>
      <w:r xml:space="preserve">
        <w:t> </w:t>
      </w:r>
      <w:r xml:space="preserve">
        <w:t> </w:t>
      </w:r>
      <w:r>
        <w:t xml:space="preserve">CONTRACTS FOR EDUCATIONAL SERVICES.  </w:t>
      </w:r>
      <w:r>
        <w:rPr>
          <w:u w:val="single"/>
        </w:rPr>
        <w:t xml:space="preserve">(a)</w:t>
      </w:r>
      <w:r>
        <w:t xml:space="preserve">  The board of trustees of an independent school district may contract with a public or private entity for that entity to provide educational services for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and open-enrollment charter school may apply to the commissioner for approval to jointly operate a campus or campus program.  During each school year, the commissioner may approve not more than three contracts for a school district and open-enrollment charter school to jointly operate a campus or campus program and to receive funding as provided by Subsection (d).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does not apply to the renewal of a contract previously approved by the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contract with an open-enrollment charter school to jointly operate a campus or campus program during the 2017-2018 school year is considered to be a contract approved by the commissioner and is eligible to receive funding as provided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that contracts with the governing body of an open-enrollment charter school to jointly operate a campus or campus program qualifies for funding under Section 42.2511 for each student or the portion of each student's school day under the direction of the open-enrollment charter school if the most recent accountability rating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campus was a C or higher under Subchapter C, Chapter 39;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open-enrollment charter school was a C or higher under Subchapters C and D, Chapter 39.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adopt rules and collect data to determine the portion of funding a school district is entitled to under Subsection (d) if the district contracts with an open-enrollment charter school to jointly operate a campus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42.2511(a)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school district and an open-enrollment charter school that enter into a contract to operate a district campus as provided by Section 11.174;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charter granted by a school district for a program operated by an entity that has entered into a contract under Section 11.174, provided that the district does not appoint a majority of the governing body of the charter holder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that contracts with an open-enrollment charter school to jointly operate a campus or campus program as provided by Section 11.157(d)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provision of this chapter or Chapter 41, a school district subject to this section is entitled to receive for each student in average daily attendance at the campus </w:t>
      </w:r>
      <w:r>
        <w:rPr>
          <w:u w:val="single"/>
        </w:rPr>
        <w:t xml:space="preserve">or program</w:t>
      </w:r>
      <w:r>
        <w:t xml:space="preserve"> described by Subsection (a) an amount equivalent to the difference, if the difference results in increased funding, between: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described by Section 12.106;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amount to which the district would be entitled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2117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