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86R6110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governmental entities that may partner with a school district to operate a district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11.174, Education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 campus qualifies for an exemption from intervention as provided by Subsection (f) and qualifies for funding as provided by Section 42.2511 if</w:t>
      </w:r>
      <w:r>
        <w:rPr>
          <w:u w:val="single"/>
        </w:rPr>
        <w:t xml:space="preserve">, except as provided by Subsection (a-1),</w:t>
      </w:r>
      <w:r>
        <w:t xml:space="preserve"> the board of trustees of the district contracts to partner to operate the district campus as provided by this section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governing body of an open-enrollment charter school;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approval by the commissioner, an entity granted a charter by the district under Subchapter C, Chapter 12, that is eligible to be awarded a charter under Section 12.101(a).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trustees of a school district may not partner with a municipality to operate a district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