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86R11849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prompt payment requirements to health and accident coverage provided by certain risk pools.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542.052,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542.052.</w:t>
      </w:r>
      <w:r xml:space="preserve">
        <w:t> </w:t>
      </w:r>
      <w:r xml:space="preserve">
        <w:t> </w:t>
      </w:r>
      <w:r>
        <w:t xml:space="preserve">APPLICABILITY OF SUBCHAPTER.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This subchapter applies to any insurer authorized to engage in business as an insurance company or to provide insurance in this state,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stock life, health, or accident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mutual life, health, or accident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stock fire or casualty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mutual fire or casualty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Mexican casualty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Lloyd's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reciprocal or interinsurance exchange;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fraternal benefit society;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stipulated premium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nonprofit legal services corporation;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statewide mutual assessment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 local mutual aid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a local mutual burial association;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an association exempt under Section 887.102;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a nonprofit hospital, medical, or dental service corporation, including a corporation subject to Chapter 842;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a county mutual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a farm mutual insurance company;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a risk retention group;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 purchasing group;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(20)</w:t>
      </w:r>
      <w:r xml:space="preserve">
        <w:t> </w:t>
      </w:r>
      <w:r xml:space="preserve">
        <w:t> </w:t>
      </w:r>
      <w:r>
        <w:t xml:space="preserve">an eligible surplus lines insurer;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(21)</w:t>
      </w:r>
      <w:r xml:space="preserve">
        <w:t> </w:t>
      </w:r>
      <w:r xml:space="preserve">
        <w:t> </w:t>
      </w:r>
      <w:r>
        <w:t xml:space="preserve">except as provided by Section 542.053(b), a guaranty association operating under Chapter 462 or 463.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 a claim under health and accident coverage provided by a risk pool created under Chapter 172, Local Government Code, and the risk pool shall be treated as an insurer for purposes of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claim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