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2126</w:t>
      </w:r>
    </w:p>
    <w:p w:rsidR="003F3435" w:rsidRDefault="0032493E">
      <w:pPr>
        <w:ind w:firstLine="720"/>
        <w:jc w:val="both"/>
      </w:pPr>
      <w:r>
        <w:t xml:space="preserve">(Huberty)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taking sand, gravel, marl, shell, and mudshell from the San Jacinto River and its tributaries.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86, Parks and Wildlife Code, is amended by adding Section 86.0192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86.0192.</w:t>
      </w:r>
      <w:r>
        <w:rPr>
          <w:u w:val="single"/>
        </w:rPr>
        <w:t xml:space="preserve"> </w:t>
      </w:r>
      <w:r>
        <w:rPr>
          <w:u w:val="single"/>
        </w:rPr>
        <w:t xml:space="preserve"> </w:t>
      </w:r>
      <w:r>
        <w:rPr>
          <w:u w:val="single"/>
        </w:rPr>
        <w:t xml:space="preserve">EXEMPTION FOR CERTAIN POLITICAL SUBDIVISIONS.  (a)</w:t>
      </w:r>
      <w:r>
        <w:rPr>
          <w:u w:val="single"/>
        </w:rPr>
        <w:t xml:space="preserve"> </w:t>
      </w:r>
      <w:r>
        <w:rPr>
          <w:u w:val="single"/>
        </w:rPr>
        <w:t xml:space="preserve"> </w:t>
      </w:r>
      <w:r>
        <w:rPr>
          <w:u w:val="single"/>
        </w:rPr>
        <w:t xml:space="preserve">This section applies only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San Jacinto River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Harris County Flood Control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take sand, gravel, marl, shell, and mudshell from the San Jacinto River and its tributaries to restore, maintain, or expand the capacity of the river and its tributaries to convey storm flows.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acting under this section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 permit or pay a fee to take sand, gravel, marl, shell, or mudshell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sand, gravel, marl, shell, or mudshell taken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acting under this section may deposit sand, gravel, marl, shell, or mudshell taken under Subsection (b) on private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