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assessment requirements of the Texas Success Initiative for students who achieve certain scores on a high school equivalency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51.338,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who has achieved a score set by the board in a content area subject to the standards prescribed by the board under Section 51.334(b) on a high school equivalency examination administered under Section 7.111 is exempt from the requirements of this subchapter with respect to that content area. </w:t>
      </w:r>
      <w:r>
        <w:rPr>
          <w:u w:val="single"/>
        </w:rPr>
        <w:t xml:space="preserve"> </w:t>
      </w:r>
      <w:r>
        <w:rPr>
          <w:u w:val="single"/>
        </w:rP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assessment of entering undergraduate students at public institutions of higher education for the 2020 fall semester. </w:t>
      </w:r>
      <w:r>
        <w:t xml:space="preserve"> </w:t>
      </w:r>
      <w:r>
        <w:t xml:space="preserve">The assessment of an entering undergraduate student for an academic term before that semester is governed by the law in effect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