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2132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information to certain women enrolled in the Healthy Texas Women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531.0995.</w:t>
      </w:r>
      <w:r>
        <w:rPr>
          <w:u w:val="single"/>
        </w:rPr>
        <w:t xml:space="preserve"> </w:t>
      </w:r>
      <w:r>
        <w:rPr>
          <w:u w:val="single"/>
        </w:rPr>
        <w:t xml:space="preserve"> </w:t>
      </w:r>
      <w:r>
        <w:rPr>
          <w:u w:val="single"/>
        </w:rPr>
        <w:t xml:space="preserve">INFORMATION FOR CERTAIN ENROLLEES IN THE HEALTHY TEXAS WOMEN PROGRAM.  (a)</w:t>
      </w:r>
      <w:r>
        <w:rPr>
          <w:u w:val="single"/>
        </w:rPr>
        <w:t xml:space="preserve"> </w:t>
      </w:r>
      <w:r>
        <w:rPr>
          <w:u w:val="single"/>
        </w:rPr>
        <w:t xml:space="preserve"> </w:t>
      </w:r>
      <w:r>
        <w:rPr>
          <w:u w:val="single"/>
        </w:rPr>
        <w:t xml:space="preserve">In this section, "Healthy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woman who is automatically enrolled in the Healthy Texas Women program following a pregnancy for which the woman received Medicaid, but who is no longer eligible to participate in Medicaid.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 woman described by Subsection (b) is enrolled in the Healthy Texas Women program, the commission shall provide to the woman: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about the Healthy Texas Women program, including the services provided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health care providers who participate in the Healthy Texas Women program and are located in the same geographical area in which the woman resides.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consult with the Maternal Mortality and Morbidity Task Force established under Chapter 34, Health and Safety Code, to improve the process for providing the information required by Subsection (c), including by determining: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best time for providing the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manner by which the information should be provided, including the information about health care providers described by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Section 531.0995,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531.0995, Government Code, as added by this Act, applies only to a woman automatically enrolled in the Healthy Texas Women program on or after January 1, 2020.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2132 passed the Senate on April</w:t>
      </w:r>
      <w:r xml:space="preserve">
        <w:t> </w:t>
      </w:r>
      <w:r>
        <w:t xml:space="preserve">10,</w:t>
      </w:r>
      <w:r xml:space="preserve">
        <w:t> </w:t>
      </w:r>
      <w:r>
        <w:t xml:space="preserve">2019,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2132 passed the House on May</w:t>
      </w:r>
      <w:r xml:space="preserve">
        <w:t> </w:t>
      </w:r>
      <w:r>
        <w:t xml:space="preserve">3,</w:t>
      </w:r>
      <w:r xml:space="preserve">
        <w:t> </w:t>
      </w:r>
      <w:r>
        <w:t xml:space="preserve">2019, by the following vote:</w:t>
      </w:r>
      <w:r xml:space="preserve">
        <w:t> </w:t>
      </w:r>
      <w:r xml:space="preserve">
        <w:t> </w:t>
      </w:r>
      <w:r>
        <w:t xml:space="preserve">Yeas</w:t>
      </w:r>
      <w:r xml:space="preserve">
        <w:t> </w:t>
      </w:r>
      <w:r>
        <w:t xml:space="preserve">136, Nays</w:t>
      </w:r>
      <w:r xml:space="preserve">
        <w:t> </w:t>
      </w:r>
      <w:r>
        <w:t xml:space="preserve">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