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2132</w:t>
      </w:r>
    </w:p>
    <w:p w:rsidR="003F3435" w:rsidRDefault="0032493E">
      <w:pPr>
        <w:ind w:firstLine="720"/>
        <w:jc w:val="both"/>
      </w:pPr>
      <w:r>
        <w:t xml:space="preserve">(Button, J. Johnson of Dallas)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to certain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INFORMATION FOR CERTAIN ENROLLEES IN THE HEALTHY TEXAS WOMEN PROGRAM.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woman who is automatically enrolled in the Healthy Texas Women program following a pregnancy for which the woman received Medicaid, but who is no longer eligible to participate in Medicaid.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woman described by Subsection (b) is enrolled in the Healthy Texas Women program, the commission shall provide to the woman: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about the Healthy Texas Women program, including the services provided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health care providers who participate in the Healthy Texas Women program and are located in the same geographical area in which the woman resides.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consult with the Maternal Mortality and Morbidity Task Force established under Chapter 34, Health and Safety Code, to improve the process for providing the information required by Subsection (c), including by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best time for providing the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by which the information should be provided, including the information about health care providers described by Subsection (c)(2).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any rules necessary to implement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531.0995, Government Code, as added by this Act, applies only to a woman automatically enrolled in the Healthy Texas Women program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