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a law enforcement agency is required to share with a school district about a person who may be a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15.27, Code of Criminal Procedure, is amended by amending Subsection (a) and adding Subsection (k-1) to read as follows:</w:t>
      </w:r>
    </w:p>
    <w:p w:rsidR="003F3435" w:rsidRDefault="0032493E">
      <w:pPr>
        <w:spacing w:line="480" w:lineRule="auto"/>
        <w:ind w:firstLine="720"/>
        <w:jc w:val="both"/>
      </w:pPr>
      <w:r>
        <w:t xml:space="preserve">(a)</w:t>
      </w:r>
      <w:r xml:space="preserve">
        <w:t> </w:t>
      </w:r>
      <w:r xml:space="preserve">
        <w:t> </w:t>
      </w:r>
      <w:r>
        <w:t xml:space="preserve">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head of the agency or a person designated by the head of the agency shall orally notify the superintendent or a person designated by the superintendent in the school district in which the student is enrolled of that arrest or referral within 24 hours after the arrest or referral is made, or before the next school day, whichever is earlier.  If the law enforcement agency cannot ascertain whether the individual is enrolled as a student, the head of the agency or a person designated by the head of the agency shall orally notify the superintendent or a person designated by the superintendent in the school district in which the student is believed to be enrolled of that arrest or detention within 24 hours after the arrest or detention, or before the next school day, whichever is earlier.  If the individual is a student, the superintendent or the superintendent's designee shall immediately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intentionally violate this subsection.  Within seven days after the date the oral notice is given, the head of the law enforcement agency or the person designated by the head of the agency shall mail written notification, marked "PERSONAL and CONFIDENTIAL" on the mailing envelope, to the superintendent or the person designated by the superintendent.  The written notification must include the facts contained in the oral notification, the name of the person who was orally notified, and the date and time of the oral notification.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w:t>
      </w:r>
      <w:r>
        <w:rPr>
          <w:u w:val="single"/>
        </w:rPr>
        <w:t xml:space="preserve">or whether it is necessary to conduct a threat assessment or prepare a safety plan related to the student</w:t>
      </w:r>
      <w:r>
        <w:t xml:space="preserve">.  The information contained in the notice shall be considered by the superintendent or the superintendent's designee in making such a determination.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In addition to the information provided under Subsection (k), the law enforcement agency shall provide to the superintendent or superintendent's designee information relating to the student that is requested for the purpose of conducting a threat assessment or preparing a safety plan relating to that student.  A school board may enter into a memorandum of understanding with a law enforcement agency regarding the exchange of information relevant to conducting a threat assessment or preparing a safety plan.  Absent a memorandum of understanding, the information requested by the superintendent or the superintendent's designee shall be considered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37.006(e),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determining whether there is a reasonable belief that a student has engaged in conduct defined as a felony offense by the Penal Code, the superintendent or the superintendent's designee may consider all available information, including the information furnished under Article 15.27, Code of Criminal Procedure</w:t>
      </w:r>
      <w:r>
        <w:rPr>
          <w:u w:val="single"/>
        </w:rPr>
        <w:t xml:space="preserve">, other than information requested under Article 15.27(k-1),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58.008, Family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Law enforcement records concerning a child may be inspected or copied by:</w:t>
      </w:r>
    </w:p>
    <w:p w:rsidR="003F3435" w:rsidRDefault="0032493E">
      <w:pPr>
        <w:spacing w:line="480" w:lineRule="auto"/>
        <w:ind w:firstLine="1440"/>
        <w:jc w:val="both"/>
      </w:pPr>
      <w:r>
        <w:t xml:space="preserve">(1)</w:t>
      </w:r>
      <w:r xml:space="preserve">
        <w:t> </w:t>
      </w:r>
      <w:r xml:space="preserve">
        <w:t> </w:t>
      </w:r>
      <w:r>
        <w:t xml:space="preserve">a juvenile justice agency, as defined by Section 58.101;</w:t>
      </w:r>
    </w:p>
    <w:p w:rsidR="003F3435" w:rsidRDefault="0032493E">
      <w:pPr>
        <w:spacing w:line="480" w:lineRule="auto"/>
        <w:ind w:firstLine="1440"/>
        <w:jc w:val="both"/>
      </w:pPr>
      <w:r>
        <w:t xml:space="preserve">(2)</w:t>
      </w:r>
      <w:r xml:space="preserve">
        <w:t> </w:t>
      </w:r>
      <w:r xml:space="preserve">
        <w:t> </w:t>
      </w:r>
      <w:r>
        <w:t xml:space="preserve">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the child;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child's parent or guardian</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chief executive officer or the officer's designee of a primary or secondary school where the child is enrolled only for the purpose of conducting a threat assessment or preparing a safety plan related to the child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Subsection (d), "chief executive officer"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superintendent of a public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of an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executive officer of a private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15.27(a), Code of Criminal Procedure, as amended by this Act, and Article 15.27(k-1), Code of Criminal Procedure, as added by this Act, apply only to information related to an arrest or referral made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2135 passed the Senate on April 29,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2135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