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2137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351.1068(b) and (c), Tax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municipality to which this section applies may use revenue derived from the municipal hotel occupancy tax to construct, maintain, or expand a sporting-related facility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</w:t>
      </w:r>
      <w:r>
        <w:rPr>
          <w:u w:val="single"/>
        </w:rPr>
        <w:t xml:space="preserve">a</w:t>
      </w:r>
      <w:r>
        <w:t xml:space="preserve"> sporting-related field</w:t>
      </w:r>
      <w:r>
        <w:rPr>
          <w:u w:val="single"/>
        </w:rPr>
        <w:t xml:space="preserve">, or related infrastructure as defined by Section 334.001, Local Government Code, that is located within 2500 feet of the facility or field, provided that the facility, field, or infrastructure is located</w:t>
      </w:r>
      <w:r>
        <w:t xml:space="preserve"> on property owned by the municipality </w:t>
      </w:r>
      <w:r>
        <w:rPr>
          <w:u w:val="single"/>
        </w:rPr>
        <w:t xml:space="preserve">and that</w:t>
      </w:r>
      <w:r>
        <w:t xml:space="preserve"> [</w:t>
      </w:r>
      <w:r>
        <w:rPr>
          <w:strike/>
        </w:rPr>
        <w:t xml:space="preserve">, provided</w:t>
      </w:r>
      <w:r>
        <w:t xml:space="preserve">] the municipality's sports facilities and fields have been used in the preceding calendar year a combined total of more than 10 times for district, state, regional, or national sports tournaments, games, or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municipality to which this section applies that uses revenue derived from the municipal hotel occupancy tax for a purpose described by Subsection (b):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determine the amount of municipal hotel occupancy tax revenue generated for the municipality by hotel activity attributable to the [</w:t>
      </w:r>
      <w:r>
        <w:rPr>
          <w:strike/>
        </w:rPr>
        <w:t xml:space="preserve">sports tournaments, games, and events held on the</w:t>
      </w:r>
      <w:r>
        <w:t xml:space="preserve">] newly constructed, enhanced, or upgraded facilities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fields</w:t>
      </w:r>
      <w:r>
        <w:rPr>
          <w:u w:val="single"/>
        </w:rPr>
        <w:t xml:space="preserve">, or related infrastructure</w:t>
      </w:r>
      <w:r>
        <w:t xml:space="preserve"> for 10 years after the date the </w:t>
      </w:r>
      <w:r>
        <w:rPr>
          <w:u w:val="single"/>
        </w:rPr>
        <w:t xml:space="preserve">original</w:t>
      </w:r>
      <w:r>
        <w:t xml:space="preserve"> construction, enhancements, or upgrades </w:t>
      </w:r>
      <w:r>
        <w:rPr>
          <w:u w:val="single"/>
        </w:rPr>
        <w:t xml:space="preserve">of the first of the facilities or fields is</w:t>
      </w:r>
      <w:r>
        <w:t xml:space="preserve"> [</w:t>
      </w:r>
      <w:r>
        <w:rPr>
          <w:strike/>
        </w:rPr>
        <w:t xml:space="preserve">are</w:t>
      </w:r>
      <w:r>
        <w:t xml:space="preserve">] completed;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spend municipal hotel occupancy tax revenue for the construction, enhancement, or upgrading of the facilities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fields</w:t>
      </w:r>
      <w:r>
        <w:rPr>
          <w:u w:val="single"/>
        </w:rPr>
        <w:t xml:space="preserve">, or related infrastructure</w:t>
      </w:r>
      <w:r>
        <w:t xml:space="preserve"> in a total amount that exceeds the amount of area hotel revenue attributable to the construction, enhancements, or upgrades </w:t>
      </w:r>
      <w:r>
        <w:rPr>
          <w:u w:val="single"/>
        </w:rPr>
        <w:t xml:space="preserve">as determined under Subdivision (1)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