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2138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and operation of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531.021135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531.021135.</w:t>
      </w:r>
      <w:r>
        <w:rPr>
          <w:u w:val="single"/>
        </w:rPr>
        <w:t xml:space="preserve"> </w:t>
      </w:r>
      <w:r>
        <w:rPr>
          <w:u w:val="single"/>
        </w:rPr>
        <w:t xml:space="preserve"> </w:t>
      </w:r>
      <w:r>
        <w:rPr>
          <w:u w:val="single"/>
        </w:rPr>
        <w:t xml:space="preserve">COMMISSION'S AUTHORITY TO RETAIN CERTAIN MONEY TO ADMINISTER CERTAIN MEDICAID PROGRAMS; REPORT REQUIRED.  (a)</w:t>
      </w:r>
      <w:r>
        <w:rPr>
          <w:u w:val="single"/>
        </w:rPr>
        <w:t xml:space="preserve"> </w:t>
      </w:r>
      <w:r>
        <w:rPr>
          <w:u w:val="single"/>
        </w:rPr>
        <w:t xml:space="preserve"> </w:t>
      </w:r>
      <w:r>
        <w:rPr>
          <w:u w:val="single"/>
        </w:rPr>
        <w:t xml:space="preserve">In this section, "directed payment program" means a delivery system and provider patient initiative implemented by this state under 42 C.F.R. Section 438.6(c).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money the commission receives from a source other than the general revenue fund to operate a waiver program established under Section 1115 of the federal Social Security Act (42 U.S.C. Section 1315) or a directed payment program or successor program as determined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(e), the commission may retain from money to which this section applies an amount equal to the estimated costs necessary to administer the program for which the money is received, but not to exceed $8 million for a state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spend money retained under this section to assist in paying the costs necessary to administer the program for which the money is received, except that the commission may not use the money to pay any type of administrative cost that, before June 1, 2019, was funded with general revenue.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commission determines that the commission needs additional money to administer a program described by Subsection (b), the commission may retain an additional amount with the approval of the governor and the Legislative Budget Board, but not to exceed a total retained amount equal to 0.25 percent of the total amount estimated to be received for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submit an annual report to the governor and the Legislative Budget Board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details the amount of money retained and spent by the commission under this section during the preceding state fiscal year, including a separate detail of any increase in the amount of money retained for a program under Subsection (e);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contains a transparent description of how the commission used the money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assesses the extent to which the money retained by the commission under this section covered the estimated costs to administer the applicable program and states whether, based on that assessment, the commission adjusted or considered adjustments to the amount retained.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executive commissioner shall adopt rules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531.1023, Government Code, is amended to read as follows:</w:t>
      </w:r>
    </w:p>
    <w:p w:rsidR="003F3435" w:rsidRDefault="0032493E">
      <w:pPr>
        <w:spacing w:line="480" w:lineRule="auto"/>
        <w:ind w:firstLine="720"/>
        <w:jc w:val="both"/>
      </w:pPr>
      <w:r>
        <w:t xml:space="preserve">Sec.</w:t>
      </w:r>
      <w:r xml:space="preserve">
        <w:t> </w:t>
      </w:r>
      <w:r>
        <w:t xml:space="preserve">531.1023.</w:t>
      </w:r>
      <w:r xml:space="preserve">
        <w:t> </w:t>
      </w:r>
      <w:r xml:space="preserve">
        <w:t> </w:t>
      </w:r>
      <w:r>
        <w:t xml:space="preserve">COMPLIANCE WITH FEDERAL CODING GUIDELINES.  </w:t>
      </w:r>
      <w:r>
        <w:rPr>
          <w:u w:val="single"/>
        </w:rPr>
        <w:t xml:space="preserve">(a)</w:t>
      </w:r>
      <w:r xml:space="preserve">
        <w:t> </w:t>
      </w:r>
      <w:r xml:space="preserve">
        <w:t> </w:t>
      </w:r>
      <w:r>
        <w:t xml:space="preserve">The commission's office of inspector general, including office staff and any third party with which the office contracts to perform coding services, </w:t>
      </w:r>
      <w:r>
        <w:rPr>
          <w:u w:val="single"/>
        </w:rPr>
        <w:t xml:space="preserve">and the commission's medical and utilization review appeals unit</w:t>
      </w:r>
      <w:r>
        <w:t xml:space="preserve"> shall comply with federal coding guidelines, including guidelines for diagnosis-related group (DRG) validation and related audits.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"federal coding guidelines" means the code sets and guidelines adopted by the United States Department of Health and Human Services in accordance with the Health Insurance Portability and Accountability Act of 1996 (42 U.S.C. Section 1320d et seq.).</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533, Government Code, is amended by adding Section 533.0031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533.0031.</w:t>
      </w:r>
      <w:r>
        <w:rPr>
          <w:u w:val="single"/>
        </w:rPr>
        <w:t xml:space="preserve"> </w:t>
      </w:r>
      <w:r>
        <w:rPr>
          <w:u w:val="single"/>
        </w:rPr>
        <w:t xml:space="preserve"> </w:t>
      </w:r>
      <w:r>
        <w:rPr>
          <w:u w:val="single"/>
        </w:rPr>
        <w:t xml:space="preserve">MEDICAID MANAGED CARE PLAN ACCREDITATION.  (a)</w:t>
      </w:r>
      <w:r>
        <w:rPr>
          <w:u w:val="single"/>
        </w:rPr>
        <w:t xml:space="preserve"> </w:t>
      </w:r>
      <w:r>
        <w:rPr>
          <w:u w:val="single"/>
        </w:rPr>
        <w:t xml:space="preserve"> </w:t>
      </w:r>
      <w:r>
        <w:rPr>
          <w:u w:val="single"/>
        </w:rPr>
        <w:t xml:space="preserve">A managed care plan offered by a Medicaid managed care organization must be accredited by a nationally recognized accreditation organization.  The commission may choose whether to require all managed care plans offered by Medicaid managed care organizations to be accredited by the same organization or to allow for accreditation by different organizations.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use the data, scoring, and other information provided to or received from an accreditation organization in the commission's contract oversight processes.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Health and Human Services Commission shall require that a managed care plan offered by a Medicaid managed care organization with which the commission enters into or renews a contract under Chapter 533, Government Code, on or after the effective date of this Act complies with Section 533.0031, Government Code, as added by this Act, not later than September 1, 2022.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2138 passed the Senate on April</w:t>
      </w:r>
      <w:r xml:space="preserve">
        <w:t> </w:t>
      </w:r>
      <w:r>
        <w:t xml:space="preserve">29,</w:t>
      </w:r>
      <w:r xml:space="preserve">
        <w:t> </w:t>
      </w:r>
      <w:r>
        <w:t xml:space="preserve">2019, by the following vote:</w:t>
      </w:r>
      <w:r xml:space="preserve">
        <w:t> </w:t>
      </w:r>
      <w:r xml:space="preserve">
        <w:t> </w:t>
      </w:r>
      <w:r>
        <w:t xml:space="preserve">Yeas</w:t>
      </w:r>
      <w:r xml:space="preserve">
        <w:t> </w:t>
      </w:r>
      <w:r>
        <w:t xml:space="preserve">30, Nays</w:t>
      </w:r>
      <w:r xml:space="preserve">
        <w:t> </w:t>
      </w:r>
      <w:r>
        <w:t xml:space="preserve">1; May</w:t>
      </w:r>
      <w:r xml:space="preserve">
        <w:t> </w:t>
      </w:r>
      <w:r>
        <w:t xml:space="preserve">23,</w:t>
      </w:r>
      <w:r xml:space="preserve">
        <w:t> </w:t>
      </w:r>
      <w:r>
        <w:t xml:space="preserve">2019, Senate refused to concur in House amendments and requested appointment of Conference Committee; May</w:t>
      </w:r>
      <w:r xml:space="preserve">
        <w:t> </w:t>
      </w:r>
      <w:r>
        <w:t xml:space="preserve">23,</w:t>
      </w:r>
      <w:r xml:space="preserve">
        <w:t> </w:t>
      </w:r>
      <w:r>
        <w:t xml:space="preserve">2019, House granted request of the Senate; May</w:t>
      </w:r>
      <w:r xml:space="preserve">
        <w:t> </w:t>
      </w:r>
      <w:r>
        <w:t xml:space="preserve">26,</w:t>
      </w:r>
      <w:r xml:space="preserve">
        <w:t> </w:t>
      </w:r>
      <w:r>
        <w:t xml:space="preserve">2019, Senate adopted Conference Committee Report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2138 passed the House, with amendments, on May</w:t>
      </w:r>
      <w:r xml:space="preserve">
        <w:t> </w:t>
      </w:r>
      <w:r>
        <w:t xml:space="preserve">22,</w:t>
      </w:r>
      <w:r xml:space="preserve">
        <w:t> </w:t>
      </w:r>
      <w:r>
        <w:t xml:space="preserve">2019, by the following vote:</w:t>
      </w:r>
      <w:r xml:space="preserve">
        <w:t> </w:t>
      </w:r>
      <w:r xml:space="preserve">
        <w:t> </w:t>
      </w:r>
      <w:r>
        <w:t xml:space="preserve">Yeas</w:t>
      </w:r>
      <w:r xml:space="preserve">
        <w:t> </w:t>
      </w:r>
      <w:r>
        <w:t xml:space="preserve">131, Nays</w:t>
      </w:r>
      <w:r xml:space="preserve">
        <w:t> </w:t>
      </w:r>
      <w:r>
        <w:t xml:space="preserve">13, two present not voting; May</w:t>
      </w:r>
      <w:r xml:space="preserve">
        <w:t> </w:t>
      </w:r>
      <w:r>
        <w:t xml:space="preserve">23,</w:t>
      </w:r>
      <w:r xml:space="preserve">
        <w:t> </w:t>
      </w:r>
      <w:r>
        <w:t xml:space="preserve">2019, House granted request of the Senate for appointment of Conference Committee; May</w:t>
      </w:r>
      <w:r xml:space="preserve">
        <w:t> </w:t>
      </w:r>
      <w:r>
        <w:t xml:space="preserve">26,</w:t>
      </w:r>
      <w:r xml:space="preserve">
        <w:t> </w:t>
      </w:r>
      <w:r>
        <w:t xml:space="preserve">2019, House adopted Conference Committee Report by the following vote:</w:t>
      </w:r>
      <w:r xml:space="preserve">
        <w:t> </w:t>
      </w:r>
      <w:r xml:space="preserve">
        <w:t> </w:t>
      </w:r>
      <w:r>
        <w:t xml:space="preserve">Yeas</w:t>
      </w:r>
      <w:r xml:space="preserve">
        <w:t> </w:t>
      </w:r>
      <w:r>
        <w:t xml:space="preserve">125, Nays</w:t>
      </w:r>
      <w:r xml:space="preserve">
        <w:t> </w:t>
      </w:r>
      <w:r>
        <w:t xml:space="preserve">21,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