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amount of civil penalties the attorney general may seek to recover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17.47(c),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$10,000</w:t>
      </w:r>
      <w:r>
        <w:t xml:space="preserve"> </w:t>
      </w:r>
      <w:r>
        <w:t xml:space="preserve">[</w:t>
      </w:r>
      <w:r>
        <w:rPr>
          <w:strike/>
        </w:rPr>
        <w:t xml:space="preserve">$20,000</w:t>
      </w:r>
      <w:r>
        <w:t xml:space="preserve">]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action filed by the consumer protection division under Section 17.47, Business &amp; Commerce Code, on or after the effective date of this Act. </w:t>
      </w:r>
      <w:r>
        <w:t xml:space="preserve"> </w:t>
      </w:r>
      <w:r>
        <w:t xml:space="preserve">An action filed by the consumer protection division under Section 17.47, Business &amp; Commerce Code, before the effective date of this Act is governed by the law in effect on the date the action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2140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2140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