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86R14143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the use of forensic psychology in suits affecting the parent-child relationship.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 The Office of Court Administration of the Texas Judicial System shall conduct a study regarding the use of forensic psychology in suits affecting the parent-child relationship. In conducting the study, the office shall examine: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utility and efficacy of using forensic psychology to assist courts in rendering orders in the best interest of the child;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total cost of a forensic psychology evaluation and the feasibility of regularly requiring or providing those services in suits affecting the parent-child relationship.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September 1, 2020, the Office of Court Administration of the Texas Judicial System shall file a report containing the results of the study and recommendations for legislation with the governor, the lieutenant governor, and the legislature.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