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Criminal Justice;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2143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Kickapoo Traditional Tribe of Texas to commission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Article 2.126,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2.126.</w:t>
      </w:r>
      <w:r xml:space="preserve">
        <w:t> </w:t>
      </w:r>
      <w:r xml:space="preserve">
        <w:t> </w:t>
      </w:r>
      <w:r>
        <w:t xml:space="preserve">PEACE OFFICERS COMMISSIONED BY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AND THE KICKAPOO TRADITIONAL TRIBE OF TEXAS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2.126(a),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tribal council of the Alabama-Coushatta [</w:t>
      </w:r>
      <w:r>
        <w:rPr>
          <w:strike/>
        </w:rPr>
        <w:t xml:space="preserve">Indian</w:t>
      </w:r>
      <w:r>
        <w:t xml:space="preserve">] Tribe </w:t>
      </w:r>
      <w:r>
        <w:rPr>
          <w:u w:val="single"/>
        </w:rPr>
        <w:t xml:space="preserve">of Texas or the tribal council of the Kickapoo Traditional Tribe of Texas</w:t>
      </w:r>
      <w:r>
        <w:t xml:space="preserve"> is authorized to employ and commission peace officers for the purpose of enforcing state law within the boundaries of the tribe's reservation.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