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2019S0388-T  03/07/19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offense of causing an accident resulting in personal injury or death while operating a motor vehicle without a license; providing a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521.021,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521.021.</w:t>
      </w:r>
      <w:r xml:space="preserve">
        <w:t> </w:t>
      </w:r>
      <w:r xml:space="preserve">
        <w:t> </w:t>
      </w:r>
      <w:r>
        <w:t xml:space="preserve">LICENSE REQUIRED.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person, other than a person expressly exempted under this chapter, may not operate a motor vehicle on a highway in this state unless the person holds a driver's license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who is involved in an accident covered by Section 550.021 while operating a motor vehicle in violation of Subsection (a) commits an offense. An offense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involving an accident resulting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death of a person is a felony of the second degree;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serious bodily injury, as defined by Section 1.07, Penal Code, to a person is a felony of the third degree;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involving an accident resulting in injury to which Subdivision (1) does not apply is punishable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imprisonment in the Texas Department of Criminal Justice for not more than five years or confinement in the county jail for not more than one year;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fine not to exceed $5,000;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both the fine and the imprisonment or confinement.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liability under Subsection (b) that the person operating a motor vehicle in violation of Subsection (a) at the time of the violation held a driver's license that was suspended under Section 708.152.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apply to a person operating a motor vehicle in violation of Subsection (a) who, at the time of the violation, held a driver's license that was suspended under Section 708.152.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