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86R12865 PMO-D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2147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development of a method to determine the value of certain real property for purposes of eminent domain.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12, Agriculture Code, is amended by adding Section 12.049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12.049.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VALUATION OF CERTAIN INVESTMENTS IN LAND.  (a) </w:t>
      </w:r>
      <w:r>
        <w:rPr>
          <w:u w:val="single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 xml:space="preserve">For purposes of determining the value of property in an eminent domain proceeding under Chapter 21, Property Code, the department shall develop a method an appraiser may use to assess the value of investments made in a property owner's real property in an effort to meet soil, water, or air quality standards established by a state or federal certification process.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method developed under Subsection (a) must provide an objective means to quantify any enhancement in the value of real property that results from an investment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21.041, Property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21.041.</w:t>
      </w:r>
      <w:r xml:space="preserve">
        <w:t> </w:t>
      </w:r>
      <w:r xml:space="preserve">
        <w:t> </w:t>
      </w:r>
      <w:r>
        <w:t xml:space="preserve">EVIDENCE.  As the basis for assessing actual damages to a property owner from a condemnation, the special commissioners shall admit evidence 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value of the property being condemned;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injury to the property owner;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benefit to the property owner's remaining property;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use of the property for the purpose of the condemnation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enhanced value of the property resulting from investments described by Section 12.049, Agriculture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