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86R10725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the criminal offenses of providing material support or resources to a foreign terrorist organization and engaging in terrorist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Title 11, Penal Code, is amended to read as follows:</w:t>
      </w:r>
    </w:p>
    <w:p w:rsidR="003F3435" w:rsidRDefault="0032493E">
      <w:pPr>
        <w:spacing w:line="480" w:lineRule="auto"/>
        <w:jc w:val="center"/>
      </w:pPr>
      <w:r>
        <w:t xml:space="preserve">TITLE 11. ORGANIZED CRIME </w:t>
      </w:r>
      <w:r>
        <w:rPr>
          <w:u w:val="single"/>
        </w:rPr>
        <w:t xml:space="preserve">AND TERRORISM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TERRORISM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"Foreign terrorist organization" means an organization designated as a foreign terrorist organization under 8 U.S.C. Section 1189.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support or resources" means any property, service, or personnel.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"Property"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tangible or intangible personal property, including anything severed from land;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document, including money, that represents or embodies anything of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labor and professional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telecommunication, public utility, or transportation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lodging, restaurant service, and entertainment;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supply of a motor vehicle or other property for use.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PROVIDING MATERIAL SUPPORT OR RESOURCES TO FOREIGN TERRORIST ORGANIZATION.  (a) </w:t>
      </w:r>
      <w:r>
        <w:rPr>
          <w:u w:val="single"/>
        </w:rPr>
        <w:t xml:space="preserve"> </w:t>
      </w:r>
      <w:r>
        <w:rPr>
          <w:u w:val="single"/>
        </w:rPr>
        <w:t xml:space="preserve">A person commits an offense if the person knowingly provides material support or resources to a foreign terrorist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first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ENGAGING IN TERRORIST ACTIVITIES.  (a) </w:t>
      </w:r>
      <w:r>
        <w:rPr>
          <w:u w:val="single"/>
        </w:rPr>
        <w:t xml:space="preserve"> </w:t>
      </w:r>
      <w:r>
        <w:rPr>
          <w:u w:val="single"/>
        </w:rPr>
        <w:t xml:space="preserve">A person commits an offense if the person, with intent to support or participate in the activities of a foreign terrorist organization, commits or conspires to commit one or more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kidnapping;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robbery;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trafficking of persons;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felony offense under Chapter 31 or 32;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laundering;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unlawful manufacture, delivery, dispensation, or distribution of a controlled substance or dangerous drug that is punishable as a felony;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tampering with a witness;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tampering with or fabricating physical evidence;</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tampering with a governmental record;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hindering apprehension or prosecution.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an offense under this section is one category higher than the most serious offense listed in Subsection (a) that was committed.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most serious offense listed in Subsection (a) that was committed is a felony of the first degree, an offense under this section is a felony of the first degree punishable by imprisonment in the Texas Department of Criminal Justice for life or for any term of not more than 99 years or less than 15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most serious offense listed in Subsection (a) that was committed is described by Subsection (a)(10) or (11), 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APPLICABILITY OF OTHER LAW.  If conduct that constitutes an offense under this chapter also constitutes an offense under 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