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2168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relief from local matching funds requirement for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222.053, Transportation Code is amended by adding a new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county is considered to be an "economically disadvantaged county"</w:t>
      </w:r>
      <w:r>
        <w:rPr>
          <w:u w:val="single"/>
        </w:rPr>
        <w:t xml:space="preserve"> </w:t>
      </w:r>
      <w:r>
        <w:rPr>
          <w:u w:val="single"/>
        </w:rPr>
        <w:t xml:space="preserve">for the purposes of this section if it meets the criteria as laid out in Subsection (a) with in the past 6 years and has been included in no less than 5 federally declared disasters within the same time period.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a county described by Subsection (a-1), the adjustment to the local matching funds requirement shall be equivalent to the highest adjustment rate set in the last year the county was considered to meet the criteria described in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