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86R9595 MP-F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Miles</w:t>
      </w:r>
      <w:r xml:space="preserve">
        <w:tab wTab="150" tlc="none" cTlc="0"/>
      </w:r>
      <w:r>
        <w:t xml:space="preserve">S.B.</w:t>
      </w:r>
      <w:r xml:space="preserve">
        <w:t> </w:t>
      </w:r>
      <w:r>
        <w:t xml:space="preserve">No.</w:t>
      </w:r>
      <w:r xml:space="preserve">
        <w:t> </w:t>
      </w:r>
      <w:r>
        <w:t xml:space="preserve">2175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affirmative defenses for a Texas Commission on Environmental Quality enforcement action for unauthorized emission or opacity events.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following provisions of the Health and Safety Code are repealed:</w:t>
      </w:r>
    </w:p>
    <w:p w:rsidR="003F3435" w:rsidRDefault="0032493E">
      <w:pPr>
        <w:spacing w:line="480" w:lineRule="auto"/>
        <w:ind w:firstLine="1440"/>
        <w:jc w:val="both"/>
      </w:pPr>
      <w:r>
        <w:t xml:space="preserve">(1)</w:t>
      </w:r>
      <w:r xml:space="preserve">
        <w:t> </w:t>
      </w:r>
      <w:r xml:space="preserve">
        <w:t> </w:t>
      </w:r>
      <w:r>
        <w:t xml:space="preserve">Sections 382.0216(f) and (h); and</w:t>
      </w:r>
    </w:p>
    <w:p w:rsidR="003F3435" w:rsidRDefault="0032493E">
      <w:pPr>
        <w:spacing w:line="480" w:lineRule="auto"/>
        <w:ind w:firstLine="1440"/>
        <w:jc w:val="both"/>
      </w:pPr>
      <w:r>
        <w:t xml:space="preserve">(2)</w:t>
      </w:r>
      <w:r xml:space="preserve">
        <w:t> </w:t>
      </w:r>
      <w:r xml:space="preserve">
        <w:t> </w:t>
      </w:r>
      <w:r>
        <w:t xml:space="preserve">Sections 382.051962(c) and (d).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apply only to an enforcement action initiated by the Texas Commission on Environmental Quality on or after the effective date of this Act. An enforcement action initiated before the effective date of this Act is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2175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