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2180</w:t>
      </w:r>
    </w:p>
    <w:p w:rsidR="003F3435" w:rsidRDefault="0032493E">
      <w:pPr>
        <w:ind w:firstLine="720"/>
        <w:jc w:val="both"/>
      </w:pPr>
      <w:r>
        <w:t xml:space="preserve">(Ashby)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 and the establishment of a computer science strategic advisory committee to increase computer science instruction and participation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The State Board of Education shall review and revise, as needed, the essential knowledge and skills of the technology applications curriculum every five years to ensure that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w:t>
      </w:r>
      <w:r>
        <w:rPr>
          <w:u w:val="single"/>
        </w:rPr>
        <w:t xml:space="preserve">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w:t>
      </w:r>
      <w:r>
        <w:rPr>
          <w:u w:val="single"/>
        </w:rPr>
        <w:t xml:space="preserve"> </w:t>
      </w:r>
      <w:r>
        <w:rPr>
          <w:u w:val="single"/>
        </w:rPr>
        <w:t xml:space="preserve">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Funding for the administrative and operational expenses of the advisory committee shall be provided by appropriation to the agency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advisory committee shall submit to the governor and the legislature a report that includes recommended changes to state law, including funding proposals and timelines for the implementation of the recommended changes. </w:t>
      </w:r>
      <w:r>
        <w:rPr>
          <w:u w:val="single"/>
        </w:rPr>
        <w:t xml:space="preserve"> </w:t>
      </w:r>
      <w:r>
        <w:rPr>
          <w:u w:val="single"/>
        </w:rPr>
        <w:t xml:space="preserve">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