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2019S0360-1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 and the establishment of a computer science strategic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The State Board of Education shall review and revise, as needed, the essential knowledge and skills of the technology applications curriculum every five years to ensure that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w:t>
      </w:r>
      <w:r>
        <w:rPr>
          <w:u w:val="single"/>
        </w:rPr>
        <w:t xml:space="preserve">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w:t>
      </w:r>
      <w:r>
        <w:rPr>
          <w:u w:val="single"/>
        </w:rPr>
        <w:t xml:space="preserve"> </w:t>
      </w:r>
      <w:r>
        <w:rPr>
          <w:u w:val="single"/>
        </w:rPr>
        <w:t xml:space="preserve">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Funding for the administrative and operational expenses of the advisory committee shall be provided by appropriation to the agency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advisory committee shall submit to the governor and the legislature a report that includes recommended changes to state law, including funding proposals and timelines for the implementation of the recommended changes. </w:t>
      </w:r>
      <w:r>
        <w:rPr>
          <w:u w:val="single"/>
        </w:rPr>
        <w:t xml:space="preserve"> </w:t>
      </w:r>
      <w:r>
        <w:rPr>
          <w:u w:val="single"/>
        </w:rPr>
        <w:t xml:space="preserve">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