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2180</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essential knowledge and skills of the technology applications curriculum and the establishment of a computer science strategic advisory committee to increase computer science instruction and participation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The State Board of Education shall review and revise, as needed, the essential knowledge and skills of the technology applications curriculum every five years to ensure that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w:t>
      </w:r>
      <w:r>
        <w:rPr>
          <w:u w:val="single"/>
        </w:rPr>
        <w:t xml:space="preserve">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w:t>
      </w:r>
      <w:r>
        <w:rPr>
          <w:u w:val="single"/>
        </w:rPr>
        <w:t xml:space="preserve"> </w:t>
      </w:r>
      <w:r>
        <w:rPr>
          <w:u w:val="single"/>
        </w:rPr>
        <w:t xml:space="preserve">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Funding for the administrative and operational expenses of the advisory committee shall be provided by appropriation to the agency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advisory committee shall submit to the governor and the legislature a report that includes recommended changes to state law, including funding proposals and timelines for the implementation of the recommended changes. </w:t>
      </w:r>
      <w:r>
        <w:rPr>
          <w:u w:val="single"/>
        </w:rPr>
        <w:t xml:space="preserve"> </w:t>
      </w:r>
      <w:r>
        <w:rPr>
          <w:u w:val="single"/>
        </w:rPr>
        <w:t xml:space="preserve">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w:t>
      </w:r>
      <w:r xml:space="preserve">
        <w:t>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