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5A(a)(4), Chapter 1507 (S.B. 456), Acts of the 76th Legislature, Regular Session, 1999 (Article 5190.14, Vernon's Texas Civil Statutes), is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The term includes any activities related to or associated with an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5A(a-2), Chapter 1507 (S.B. 456), Acts of the 76th Legislature, Regular Session, 1999 (Article 5190.14, Vernon's Texas Civil Statutes), is amended to read as follows:</w:t>
      </w:r>
    </w:p>
    <w:p w:rsidR="003F3435" w:rsidRDefault="0032493E">
      <w:pPr>
        <w:spacing w:line="480" w:lineRule="auto"/>
        <w:ind w:firstLine="720"/>
        <w:jc w:val="both"/>
      </w:pPr>
      <w:r>
        <w:t xml:space="preserve">(a-2)</w:t>
      </w:r>
      <w:r xml:space="preserve">
        <w:t> </w:t>
      </w:r>
      <w:r xml:space="preserve">
        <w:t> </w:t>
      </w:r>
      <w:r>
        <w:t xml:space="preserve">Subsection (a-1)(1) of this section does not apply to an event that is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If an endorsing municipality or endorsing county requests the department to make a determination under Subsection (b) of this section for an event described by this subsection, the provisions of this section apply to that event as if it satisfied the eligibility requirements for an event under Subsection (a-1)(1)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