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86R14552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confidentiality of the recording of certain emergency calls.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552, Government Code, is amended by adding Section 552.157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552.157.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EXCEPTION: CONFIDENTIALITY OF RECORDING OF CERTAIN EMERGENCY CALLS.  (a)  A recording of an emergency call made to a public safety agency or a public safety answering point, as those terms are defined by Section 772.001, Health and Safety Code, that contains the final words spoken by an individual is confidential.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body shall disclose information that is confidential under this section and that is not confidential or otherwise excepted from required disclosure under another provision of law to a requestor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an investigator licensed under Chapter 1702, Occupations Code, who certifies that the information will only be used in conjunction with a civil, criminal, administrative, or arbitral proceeding in a court or government agency, including service of process, investigation in anticipation of litigation, execution or enforcement of a judgment or order, or under any order of any court;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first responder as defined by Section 421.095.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governmental body may withhold a recording described by Subsection (a) without the necessity of requesting a decision from the attorney general under Subchapter 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