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86R15614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2193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polling place locations under the countywide polling place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43.007(f), Election Code, is amended to read as follows:</w:t>
      </w:r>
    </w:p>
    <w:p w:rsidR="003F3435" w:rsidRDefault="0032493E">
      <w:pPr>
        <w:spacing w:line="480" w:lineRule="auto"/>
        <w:ind w:firstLine="720"/>
        <w:jc w:val="both"/>
      </w:pPr>
      <w:r>
        <w:t xml:space="preserve">(f)</w:t>
      </w:r>
      <w:r xml:space="preserve">
        <w:t> </w:t>
      </w:r>
      <w:r xml:space="preserve">
        <w:t> </w:t>
      </w:r>
      <w:r>
        <w:t xml:space="preserve">In selecting countywide polling places, a county must adopt a methodology for determining where each polling place will be located. </w:t>
      </w:r>
      <w:r>
        <w:rPr>
          <w:u w:val="single"/>
        </w:rPr>
        <w:t xml:space="preserve">The county may locate a countywide polling place in every precinct in the county.</w:t>
      </w:r>
      <w:r>
        <w:t xml:space="preserve"> The total number of countywide polling places may not be less than:</w:t>
      </w:r>
    </w:p>
    <w:p w:rsidR="003F3435" w:rsidRDefault="0032493E">
      <w:pPr>
        <w:spacing w:line="480" w:lineRule="auto"/>
        <w:ind w:firstLine="1440"/>
        <w:jc w:val="both"/>
      </w:pPr>
      <w:r>
        <w:t xml:space="preserve">(1)</w:t>
      </w:r>
      <w:r xml:space="preserve">
        <w:t> </w:t>
      </w:r>
      <w:r xml:space="preserve">
        <w:t> </w:t>
      </w:r>
      <w:r>
        <w:t xml:space="preserve">except as provided by Subdivision (2), 50 percent of the number of precinct polling places that would otherwise be located in the county for that election; or</w:t>
      </w:r>
    </w:p>
    <w:p w:rsidR="003F3435" w:rsidRDefault="0032493E">
      <w:pPr>
        <w:spacing w:line="480" w:lineRule="auto"/>
        <w:ind w:firstLine="1440"/>
        <w:jc w:val="both"/>
      </w:pPr>
      <w:r>
        <w:t xml:space="preserve">(2)</w:t>
      </w:r>
      <w:r xml:space="preserve">
        <w:t> </w:t>
      </w:r>
      <w:r xml:space="preserve">
        <w:t> </w:t>
      </w:r>
      <w:r>
        <w:t xml:space="preserve">for an election held in the first year in which the county participates in the program, 65 percent of the number of precinct polling places that would otherwise be located in the county for that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