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hotel occupancy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116,000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660,000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municipality that has a population of not more than 25,000, that contains a cultural heritage museum, and that is located in a county that borders the United Mexican States and the Gulf of Mexico</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351.101,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addition to other authorized uses, a municipality that has a population of not more than 25,000, that contains a cultural heritage museum, and that is located in a county that borders the United Mexican States and the Gulf of Mexico may use revenue from the municipal hotel occupancy tax for the promotion of tourism by the enhancement and upgrading of an existing sports facility or field as specified by Subsection (a)(7), provided that the requirements of Subsections (a)(7)(A) and (C)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