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86R14284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municipal hotel occupancy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116,000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660,000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municipality that has a population of not more than 25,000, that contains a cultural heritage museum, and that is located in a county that borders the United Mexican States and the Gulf of Mexico</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351.101,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addition to other authorized uses, a municipality that has a population of not more than 25,000, that contains a cultural heritage museum, and that is located in a county that borders the United Mexican States and the Gulf of Mexico may use revenue from the municipal hotel occupancy tax for the promotion of tourism by the enhancement and upgrading of an existing sports facility or field as specified by Subsection (a)(7), provided that the requirements of Subsections (a)(7)(A) and (C) are met.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